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E5279" w:rsidTr="004E5279">
        <w:tc>
          <w:tcPr>
            <w:tcW w:w="4606" w:type="dxa"/>
          </w:tcPr>
          <w:p w:rsidR="004E5279" w:rsidRDefault="004E5279" w:rsidP="004E5279">
            <w:pPr>
              <w:jc w:val="right"/>
              <w:rPr>
                <w:sz w:val="56"/>
                <w:szCs w:val="56"/>
              </w:rPr>
            </w:pPr>
          </w:p>
        </w:tc>
        <w:tc>
          <w:tcPr>
            <w:tcW w:w="4606" w:type="dxa"/>
          </w:tcPr>
          <w:p w:rsidR="004E5279" w:rsidRDefault="004E5279" w:rsidP="004E5279">
            <w:pPr>
              <w:jc w:val="right"/>
              <w:rPr>
                <w:sz w:val="56"/>
                <w:szCs w:val="56"/>
              </w:rPr>
            </w:pPr>
            <w:r w:rsidRPr="004E5279">
              <w:rPr>
                <w:noProof/>
                <w:sz w:val="56"/>
                <w:szCs w:val="56"/>
                <w:lang w:eastAsia="nl-NL"/>
              </w:rPr>
              <w:drawing>
                <wp:inline distT="0" distB="0" distL="0" distR="0">
                  <wp:extent cx="1733550" cy="866775"/>
                  <wp:effectExtent l="19050" t="0" r="0" b="0"/>
                  <wp:docPr id="6" name="mf2" descr="Logo: KING ">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2" descr="Logo: KING ">
                            <a:hlinkClick r:id="rId8"/>
                          </pic:cNvPr>
                          <pic:cNvPicPr>
                            <a:picLocks noChangeAspect="1" noChangeArrowheads="1"/>
                          </pic:cNvPicPr>
                        </pic:nvPicPr>
                        <pic:blipFill>
                          <a:blip r:embed="rId9" cstate="print"/>
                          <a:srcRect/>
                          <a:stretch>
                            <a:fillRect/>
                          </a:stretch>
                        </pic:blipFill>
                        <pic:spPr bwMode="auto">
                          <a:xfrm>
                            <a:off x="0" y="0"/>
                            <a:ext cx="1733550" cy="866775"/>
                          </a:xfrm>
                          <a:prstGeom prst="rect">
                            <a:avLst/>
                          </a:prstGeom>
                          <a:noFill/>
                          <a:ln w="9525">
                            <a:noFill/>
                            <a:miter lim="800000"/>
                            <a:headEnd/>
                            <a:tailEnd/>
                          </a:ln>
                        </pic:spPr>
                      </pic:pic>
                    </a:graphicData>
                  </a:graphic>
                </wp:inline>
              </w:drawing>
            </w:r>
          </w:p>
        </w:tc>
      </w:tr>
    </w:tbl>
    <w:p w:rsidR="00D9229F" w:rsidRDefault="007A2055" w:rsidP="004E5279">
      <w:pPr>
        <w:spacing w:line="240" w:lineRule="auto"/>
        <w:rPr>
          <w:sz w:val="56"/>
          <w:szCs w:val="56"/>
        </w:rPr>
      </w:pPr>
      <w:r>
        <w:rPr>
          <w:sz w:val="56"/>
          <w:szCs w:val="56"/>
        </w:rPr>
        <w:t>Notitie</w:t>
      </w:r>
    </w:p>
    <w:p w:rsidR="004E5279" w:rsidRDefault="004E5279" w:rsidP="004E5279">
      <w:pPr>
        <w:spacing w:after="0" w:line="240" w:lineRule="auto"/>
        <w:rPr>
          <w:sz w:val="24"/>
          <w:szCs w:val="24"/>
        </w:rPr>
      </w:pPr>
      <w:r>
        <w:rPr>
          <w:sz w:val="24"/>
          <w:szCs w:val="24"/>
        </w:rPr>
        <w:t xml:space="preserve">Auteur: </w:t>
      </w:r>
      <w:r>
        <w:rPr>
          <w:sz w:val="24"/>
          <w:szCs w:val="24"/>
        </w:rPr>
        <w:tab/>
        <w:t>Henri Korver</w:t>
      </w:r>
    </w:p>
    <w:p w:rsidR="004E5279" w:rsidRDefault="004E5279" w:rsidP="00B52C2F">
      <w:pPr>
        <w:spacing w:after="0" w:line="240" w:lineRule="auto"/>
        <w:ind w:left="1410" w:hanging="1410"/>
        <w:rPr>
          <w:sz w:val="24"/>
          <w:szCs w:val="24"/>
        </w:rPr>
      </w:pPr>
      <w:r>
        <w:rPr>
          <w:sz w:val="24"/>
          <w:szCs w:val="24"/>
        </w:rPr>
        <w:t>Onderwerp:</w:t>
      </w:r>
      <w:r>
        <w:rPr>
          <w:sz w:val="24"/>
          <w:szCs w:val="24"/>
        </w:rPr>
        <w:tab/>
      </w:r>
      <w:r w:rsidR="00B52C2F">
        <w:rPr>
          <w:sz w:val="24"/>
          <w:szCs w:val="24"/>
        </w:rPr>
        <w:t xml:space="preserve">Informatiemodel </w:t>
      </w:r>
      <w:r>
        <w:rPr>
          <w:sz w:val="24"/>
          <w:szCs w:val="24"/>
        </w:rPr>
        <w:t xml:space="preserve">RSGB, </w:t>
      </w:r>
      <w:r w:rsidR="00B52C2F">
        <w:rPr>
          <w:sz w:val="24"/>
          <w:szCs w:val="24"/>
        </w:rPr>
        <w:t xml:space="preserve">berichtenstandaard </w:t>
      </w:r>
      <w:proofErr w:type="spellStart"/>
      <w:r>
        <w:rPr>
          <w:sz w:val="24"/>
          <w:szCs w:val="24"/>
        </w:rPr>
        <w:t>StUF-BG</w:t>
      </w:r>
      <w:proofErr w:type="spellEnd"/>
      <w:r>
        <w:rPr>
          <w:sz w:val="24"/>
          <w:szCs w:val="24"/>
        </w:rPr>
        <w:t xml:space="preserve"> en de </w:t>
      </w:r>
      <w:r w:rsidR="00414D01">
        <w:rPr>
          <w:sz w:val="24"/>
          <w:szCs w:val="24"/>
        </w:rPr>
        <w:t>veranderingen</w:t>
      </w:r>
      <w:r>
        <w:rPr>
          <w:sz w:val="24"/>
          <w:szCs w:val="24"/>
        </w:rPr>
        <w:t xml:space="preserve"> in het stelsel van basisregistraties</w:t>
      </w:r>
    </w:p>
    <w:p w:rsidR="004E5279" w:rsidRDefault="004E5279" w:rsidP="004E5279">
      <w:pPr>
        <w:spacing w:after="0" w:line="240" w:lineRule="auto"/>
        <w:rPr>
          <w:sz w:val="24"/>
          <w:szCs w:val="24"/>
        </w:rPr>
      </w:pPr>
      <w:r>
        <w:rPr>
          <w:sz w:val="24"/>
          <w:szCs w:val="24"/>
        </w:rPr>
        <w:t>Datum:</w:t>
      </w:r>
      <w:r>
        <w:rPr>
          <w:sz w:val="24"/>
          <w:szCs w:val="24"/>
        </w:rPr>
        <w:tab/>
        <w:t>3 april 2012</w:t>
      </w:r>
    </w:p>
    <w:p w:rsidR="00166D77" w:rsidRPr="004E5279" w:rsidRDefault="00166D77" w:rsidP="004E5279">
      <w:pPr>
        <w:spacing w:after="0" w:line="240" w:lineRule="auto"/>
        <w:rPr>
          <w:sz w:val="24"/>
          <w:szCs w:val="24"/>
        </w:rPr>
      </w:pPr>
      <w:r>
        <w:rPr>
          <w:sz w:val="24"/>
          <w:szCs w:val="24"/>
        </w:rPr>
        <w:t>Status:</w:t>
      </w:r>
      <w:r>
        <w:rPr>
          <w:sz w:val="24"/>
          <w:szCs w:val="24"/>
        </w:rPr>
        <w:tab/>
      </w:r>
      <w:r>
        <w:rPr>
          <w:sz w:val="24"/>
          <w:szCs w:val="24"/>
        </w:rPr>
        <w:tab/>
        <w:t>Concept</w:t>
      </w:r>
    </w:p>
    <w:p w:rsidR="004E5279" w:rsidRDefault="004E5279" w:rsidP="00D9229F">
      <w:pPr>
        <w:spacing w:line="240" w:lineRule="auto"/>
      </w:pPr>
    </w:p>
    <w:p w:rsidR="006D1776" w:rsidRDefault="00D9229F" w:rsidP="00D9229F">
      <w:pPr>
        <w:spacing w:line="240" w:lineRule="auto"/>
      </w:pPr>
      <w:r>
        <w:t xml:space="preserve">Het stelsel van basisregistraties is volop in beweging. Momenteel </w:t>
      </w:r>
      <w:r w:rsidR="004856B4">
        <w:t xml:space="preserve">zijn een aantal </w:t>
      </w:r>
      <w:r>
        <w:t>basisr</w:t>
      </w:r>
      <w:r w:rsidR="006D1776">
        <w:t xml:space="preserve">egistraties druk bezig met het opstellen </w:t>
      </w:r>
      <w:r w:rsidR="004856B4">
        <w:t>van nieuwe informatiemodellen en</w:t>
      </w:r>
      <w:r w:rsidR="006D1776">
        <w:t xml:space="preserve"> </w:t>
      </w:r>
      <w:r w:rsidR="00E71001">
        <w:t xml:space="preserve">de ontwikkeling van nieuwe </w:t>
      </w:r>
      <w:r w:rsidR="006D1776">
        <w:t xml:space="preserve">landelijke voorzieningen. </w:t>
      </w:r>
      <w:r w:rsidR="00E71001">
        <w:t xml:space="preserve">Hiermee bedoelen we in ieder geval </w:t>
      </w:r>
      <w:r w:rsidR="006D1776">
        <w:t>de volgende basisregistraties:</w:t>
      </w:r>
    </w:p>
    <w:p w:rsidR="006D1776" w:rsidRDefault="006D1776" w:rsidP="006D1776">
      <w:pPr>
        <w:pStyle w:val="Lijstalinea"/>
        <w:numPr>
          <w:ilvl w:val="0"/>
          <w:numId w:val="1"/>
        </w:numPr>
        <w:spacing w:line="240" w:lineRule="auto"/>
      </w:pPr>
      <w:r>
        <w:t>BGT (Basisregistratie Grootschalige Geografie),</w:t>
      </w:r>
    </w:p>
    <w:p w:rsidR="006D1776" w:rsidRDefault="006D1776" w:rsidP="006D1776">
      <w:pPr>
        <w:pStyle w:val="Lijstalinea"/>
        <w:numPr>
          <w:ilvl w:val="0"/>
          <w:numId w:val="1"/>
        </w:numPr>
        <w:spacing w:line="240" w:lineRule="auto"/>
      </w:pPr>
      <w:r>
        <w:t>NHR (Nieuw Handels Register),</w:t>
      </w:r>
    </w:p>
    <w:p w:rsidR="006D1776" w:rsidRDefault="006D1776" w:rsidP="006D1776">
      <w:pPr>
        <w:pStyle w:val="Lijstalinea"/>
        <w:numPr>
          <w:ilvl w:val="0"/>
          <w:numId w:val="1"/>
        </w:numPr>
        <w:spacing w:line="240" w:lineRule="auto"/>
      </w:pPr>
      <w:r>
        <w:t xml:space="preserve">RNI (Registratie </w:t>
      </w:r>
      <w:r w:rsidR="00B52C2F">
        <w:t>Niet-Ingezetenen</w:t>
      </w:r>
      <w:r>
        <w:t>),</w:t>
      </w:r>
    </w:p>
    <w:p w:rsidR="006D1776" w:rsidRDefault="006D1776" w:rsidP="006D1776">
      <w:pPr>
        <w:pStyle w:val="Lijstalinea"/>
        <w:numPr>
          <w:ilvl w:val="0"/>
          <w:numId w:val="1"/>
        </w:numPr>
        <w:spacing w:line="240" w:lineRule="auto"/>
      </w:pPr>
      <w:r>
        <w:t>GBA (Gemeentelijke Basis Administratie),</w:t>
      </w:r>
    </w:p>
    <w:p w:rsidR="006D1776" w:rsidRDefault="006D1776" w:rsidP="006D1776">
      <w:pPr>
        <w:pStyle w:val="Lijstalinea"/>
        <w:numPr>
          <w:ilvl w:val="0"/>
          <w:numId w:val="1"/>
        </w:numPr>
        <w:spacing w:line="240" w:lineRule="auto"/>
      </w:pPr>
      <w:r>
        <w:t>BRP (Basisregistratie Personen),</w:t>
      </w:r>
    </w:p>
    <w:p w:rsidR="006D1776" w:rsidRDefault="006D1776" w:rsidP="006D1776">
      <w:pPr>
        <w:pStyle w:val="Lijstalinea"/>
        <w:numPr>
          <w:ilvl w:val="0"/>
          <w:numId w:val="1"/>
        </w:numPr>
        <w:spacing w:line="240" w:lineRule="auto"/>
      </w:pPr>
      <w:r>
        <w:t>BRWOZ (Basisregistratie Wet Onroerend Zaakbelasting)</w:t>
      </w:r>
    </w:p>
    <w:p w:rsidR="006D1776" w:rsidRDefault="006D1776" w:rsidP="006D1776">
      <w:pPr>
        <w:pStyle w:val="Lijstalinea"/>
        <w:numPr>
          <w:ilvl w:val="0"/>
          <w:numId w:val="1"/>
        </w:numPr>
        <w:spacing w:line="240" w:lineRule="auto"/>
      </w:pPr>
      <w:r>
        <w:t>BRK (Basisregistratie Kadaster)</w:t>
      </w:r>
    </w:p>
    <w:p w:rsidR="00D9229F" w:rsidRDefault="004856B4" w:rsidP="00D9229F">
      <w:pPr>
        <w:spacing w:line="240" w:lineRule="auto"/>
      </w:pPr>
      <w:r>
        <w:t>De release data van deze informatiemodellen of het verplichte gebruik ervan of de invoering van de landelijke voorziening zijn verschillend en vaak door onvoorziene omstandigheden aan verandering onderhevig.</w:t>
      </w:r>
      <w:r w:rsidR="003E5B98">
        <w:t xml:space="preserve"> </w:t>
      </w:r>
    </w:p>
    <w:p w:rsidR="00C909FB" w:rsidRDefault="00126295" w:rsidP="00D9229F">
      <w:pPr>
        <w:spacing w:line="240" w:lineRule="auto"/>
      </w:pPr>
      <w:r>
        <w:t xml:space="preserve">De architecten van het </w:t>
      </w:r>
      <w:r w:rsidR="004856B4">
        <w:t xml:space="preserve">RSGB </w:t>
      </w:r>
      <w:r w:rsidR="006D1776">
        <w:t>(Referentiemodel Stelsel Gemeentelijke Basisgegevens)</w:t>
      </w:r>
      <w:r w:rsidR="00414D01">
        <w:t xml:space="preserve"> </w:t>
      </w:r>
      <w:r w:rsidR="006D1776">
        <w:t xml:space="preserve"> </w:t>
      </w:r>
      <w:r>
        <w:t>proberen</w:t>
      </w:r>
      <w:r w:rsidR="004856B4">
        <w:t xml:space="preserve"> de ontwikkelingen in het stelsel zo goed mogelijk </w:t>
      </w:r>
      <w:r>
        <w:t>te volgen</w:t>
      </w:r>
      <w:r w:rsidR="004856B4">
        <w:t xml:space="preserve">. Inmiddels is er </w:t>
      </w:r>
      <w:r w:rsidR="00C909FB">
        <w:t>een</w:t>
      </w:r>
      <w:r w:rsidR="004856B4">
        <w:t xml:space="preserve"> 2.2 </w:t>
      </w:r>
      <w:r w:rsidR="00C909FB">
        <w:t xml:space="preserve">versie </w:t>
      </w:r>
      <w:r w:rsidR="003E5B98">
        <w:t xml:space="preserve">van het RSGB </w:t>
      </w:r>
      <w:r w:rsidR="00C909FB">
        <w:t xml:space="preserve">in concept </w:t>
      </w:r>
      <w:r w:rsidR="004856B4">
        <w:t xml:space="preserve">gereed waarin de nieuwe modelleringen van de </w:t>
      </w:r>
      <w:r w:rsidR="00C909FB">
        <w:t xml:space="preserve">basisregistraties </w:t>
      </w:r>
      <w:r w:rsidR="004856B4">
        <w:t>NHR, BGT, RNI</w:t>
      </w:r>
      <w:r w:rsidR="00C909FB">
        <w:t xml:space="preserve"> en</w:t>
      </w:r>
      <w:r w:rsidR="004856B4">
        <w:t xml:space="preserve"> BRWOZ</w:t>
      </w:r>
      <w:r w:rsidR="00C909FB">
        <w:t xml:space="preserve"> zijn verwerkt in een geïntegreerd gegevensmodel v</w:t>
      </w:r>
      <w:r w:rsidR="00B52C2F">
        <w:t>oor gemeenten. De kans is aanwezig dat op niet</w:t>
      </w:r>
      <w:r w:rsidR="00C909FB">
        <w:t xml:space="preserve"> al te lange termijn weer nieuwe versies van het RSGB verschijnen waarin ook de ni</w:t>
      </w:r>
      <w:r w:rsidR="00B52C2F">
        <w:t xml:space="preserve">euwe gegevensmodelleringen van </w:t>
      </w:r>
      <w:r w:rsidR="00861A14">
        <w:t xml:space="preserve">het agenstap </w:t>
      </w:r>
      <w:r w:rsidR="00C909FB">
        <w:t>BPR</w:t>
      </w:r>
      <w:r w:rsidR="003E5B98">
        <w:t xml:space="preserve"> (Gegevensset BRP) </w:t>
      </w:r>
      <w:r w:rsidR="00C909FB">
        <w:t xml:space="preserve">en </w:t>
      </w:r>
      <w:r w:rsidR="00861A14">
        <w:t>het Kadaster</w:t>
      </w:r>
      <w:r w:rsidR="00C909FB">
        <w:t xml:space="preserve"> </w:t>
      </w:r>
      <w:r w:rsidR="003E5B98">
        <w:t xml:space="preserve">(IMKAD) </w:t>
      </w:r>
      <w:r w:rsidR="00C909FB">
        <w:t xml:space="preserve">verwerkt zijn. </w:t>
      </w:r>
    </w:p>
    <w:p w:rsidR="00C909FB" w:rsidRDefault="00C909FB" w:rsidP="00D9229F">
      <w:pPr>
        <w:spacing w:line="240" w:lineRule="auto"/>
      </w:pPr>
      <w:r>
        <w:t xml:space="preserve">De berichtenstandaard </w:t>
      </w:r>
      <w:proofErr w:type="spellStart"/>
      <w:r>
        <w:t>StUF-BG</w:t>
      </w:r>
      <w:proofErr w:type="spellEnd"/>
      <w:r>
        <w:t xml:space="preserve"> 3.10</w:t>
      </w:r>
      <w:r w:rsidR="006D1776">
        <w:t xml:space="preserve"> (Standaard Uitwisselings Formaat - Basis Gegevens)</w:t>
      </w:r>
      <w:r w:rsidR="00B9466E">
        <w:t>, oftewel bg0310 in korte notatie,</w:t>
      </w:r>
      <w:r>
        <w:t xml:space="preserve"> is gebaseerd op RSGB 2.0 dat nu de officiële versie. Dit roept de vraag op of deze berichtenstandaard </w:t>
      </w:r>
      <w:r w:rsidR="00B9466E">
        <w:t xml:space="preserve">spoedig aangepast moet worden op basis van een nieuwere versie van het RSGB zoals versie 2.2 of hoger. </w:t>
      </w:r>
      <w:r w:rsidR="00B9466E" w:rsidRPr="00B52C2F">
        <w:rPr>
          <w:i/>
        </w:rPr>
        <w:t xml:space="preserve">De StUF Expertgroep  </w:t>
      </w:r>
      <w:r w:rsidR="002C011A" w:rsidRPr="00B52C2F">
        <w:rPr>
          <w:i/>
        </w:rPr>
        <w:t xml:space="preserve">is van mening </w:t>
      </w:r>
      <w:r w:rsidR="00B9466E" w:rsidRPr="00B52C2F">
        <w:rPr>
          <w:i/>
        </w:rPr>
        <w:t xml:space="preserve">dat bg0310 zolang mogelijk stabiel </w:t>
      </w:r>
      <w:r w:rsidR="00693C5F" w:rsidRPr="00B52C2F">
        <w:rPr>
          <w:i/>
        </w:rPr>
        <w:t xml:space="preserve">moet blijven </w:t>
      </w:r>
      <w:r w:rsidR="00B9466E" w:rsidRPr="00B52C2F">
        <w:rPr>
          <w:i/>
        </w:rPr>
        <w:t>en niet bij iedere nieuwe versie van het RSGB gewijzigd hoeft te worden.</w:t>
      </w:r>
      <w:r w:rsidR="00B9466E">
        <w:t xml:space="preserve"> </w:t>
      </w:r>
    </w:p>
    <w:p w:rsidR="00B9466E" w:rsidRDefault="00B9466E" w:rsidP="00D9229F">
      <w:pPr>
        <w:spacing w:line="240" w:lineRule="auto"/>
      </w:pPr>
      <w:r>
        <w:t xml:space="preserve">Wijzigingen of toevoegingen van gegevensdefinities in het RSGB zullen in bg0310 in eerste instantie opgevangen worden door het </w:t>
      </w:r>
      <w:r w:rsidR="000E1FB8">
        <w:t xml:space="preserve">introduceren van extra elementen en/of aanvullende berichtcatalogi. Dit zijn constructies die het beheermodel van StUF toelaat zonder dat het versienummer van </w:t>
      </w:r>
      <w:proofErr w:type="spellStart"/>
      <w:r w:rsidR="000E1FB8">
        <w:t>StUF-BG</w:t>
      </w:r>
      <w:proofErr w:type="spellEnd"/>
      <w:r w:rsidR="000E1FB8">
        <w:t xml:space="preserve"> hoeft te worden opgehoogd. </w:t>
      </w:r>
      <w:r w:rsidR="00D72F9E">
        <w:t xml:space="preserve">De StUF Expertgroep zal beoordelen in hoeverre de veranderingen in het RSGB op een natuurlijke wijze te incorporeren zijn met dergelijke constructies. Als de veranderingen te groot blijken te zijn zal er uiteindelijk toch een nieuwe versie van </w:t>
      </w:r>
      <w:proofErr w:type="spellStart"/>
      <w:r w:rsidR="00D72F9E">
        <w:t>StUF-BG</w:t>
      </w:r>
      <w:proofErr w:type="spellEnd"/>
      <w:r w:rsidR="00D72F9E">
        <w:t xml:space="preserve"> vervroegd het daglicht moeten zien. Maar dit is niet de eerste intentie</w:t>
      </w:r>
      <w:r w:rsidR="00CC0001">
        <w:t xml:space="preserve">, de eerste insteek is het zolang </w:t>
      </w:r>
      <w:r w:rsidR="00CC0001">
        <w:lastRenderedPageBreak/>
        <w:t>mogelijk stabiel houden van bg0310. Het is zeer kostbaar om software implementaties te wijzigen.</w:t>
      </w:r>
      <w:r w:rsidR="004F0502">
        <w:t xml:space="preserve"> </w:t>
      </w:r>
      <w:r w:rsidR="008F129E">
        <w:t xml:space="preserve">Momenteel zijn leveranciers druk bezig om </w:t>
      </w:r>
      <w:r w:rsidR="00E929F1">
        <w:t>koppelvlakken</w:t>
      </w:r>
      <w:r w:rsidR="008F129E">
        <w:t xml:space="preserve"> gebaseerd op bg0204 te vervangen door  bg0310 </w:t>
      </w:r>
      <w:r w:rsidR="00E929F1">
        <w:t>versies</w:t>
      </w:r>
      <w:r w:rsidR="008F129E">
        <w:t>. Ze hebben veel investeringen moet</w:t>
      </w:r>
      <w:r w:rsidR="003E5B98">
        <w:t>en doen voor deze migratie</w:t>
      </w:r>
      <w:r w:rsidR="008F129E">
        <w:t xml:space="preserve">. Als </w:t>
      </w:r>
      <w:r w:rsidR="003E5B98">
        <w:t>er</w:t>
      </w:r>
      <w:r w:rsidR="008F129E">
        <w:t xml:space="preserve"> </w:t>
      </w:r>
      <w:r w:rsidR="003E5B98">
        <w:t xml:space="preserve">te snel een opvolger van bg0310 </w:t>
      </w:r>
      <w:r w:rsidR="008F129E">
        <w:t xml:space="preserve">op de proppen </w:t>
      </w:r>
      <w:r w:rsidR="003E5B98">
        <w:t>komt</w:t>
      </w:r>
      <w:r w:rsidR="008F129E">
        <w:t xml:space="preserve"> dan kan dat tot een vertrouwensbreuk leiden en </w:t>
      </w:r>
      <w:r w:rsidR="003E5B98">
        <w:t xml:space="preserve">daarmee </w:t>
      </w:r>
      <w:r w:rsidR="008F129E">
        <w:t xml:space="preserve">de </w:t>
      </w:r>
      <w:proofErr w:type="spellStart"/>
      <w:r w:rsidR="008F129E">
        <w:t>StUF-standaard</w:t>
      </w:r>
      <w:proofErr w:type="spellEnd"/>
      <w:r w:rsidR="008F129E">
        <w:t xml:space="preserve"> ondermijnen.</w:t>
      </w:r>
    </w:p>
    <w:p w:rsidR="00CC0001" w:rsidRDefault="00CC0001" w:rsidP="00D9229F">
      <w:pPr>
        <w:spacing w:line="240" w:lineRule="auto"/>
      </w:pPr>
      <w:r>
        <w:t>Wel is het belangrijk dat de gegevensarchitecten van KING de ontwikkelingen in het stelsel op de voet volgen en regelmatig nieuwe versies uitbrengen van het RSGB zodat de community een goed integraal beeld heeft van de huidige status  en de visie naar de toekomst met betrekking tot de gegevensdefinities in het stelsel.</w:t>
      </w:r>
      <w:r w:rsidR="00D6260C">
        <w:t xml:space="preserve"> </w:t>
      </w:r>
    </w:p>
    <w:p w:rsidR="00CC0001" w:rsidRDefault="00CC0001" w:rsidP="00D9229F">
      <w:pPr>
        <w:spacing w:line="240" w:lineRule="auto"/>
      </w:pPr>
      <w:r>
        <w:t xml:space="preserve">De werkgroep Informatiemodellen, de StUF Expertgroep en de StUF Regiegroep zullen in gezamenlijkheid beslissen wanneer er een nieuwe versie van de berichtenstandaard </w:t>
      </w:r>
      <w:proofErr w:type="spellStart"/>
      <w:r>
        <w:t>StUF-BG</w:t>
      </w:r>
      <w:proofErr w:type="spellEnd"/>
      <w:r>
        <w:t xml:space="preserve"> zal worden uitgebracht en op welke versie van het RSGB die gebaseerd zal zijn.</w:t>
      </w:r>
      <w:r w:rsidR="00414D01">
        <w:t xml:space="preserve"> De eerste twee genoemde werkgroepen zijn hierin adviserend en de Regiegroep zal het uiteindelijke besluit nemen.</w:t>
      </w:r>
    </w:p>
    <w:p w:rsidR="007737F1" w:rsidRDefault="007737F1">
      <w:r>
        <w:br w:type="page"/>
      </w:r>
    </w:p>
    <w:p w:rsidR="00CC0001" w:rsidRDefault="00CC0001" w:rsidP="00D9229F">
      <w:pPr>
        <w:spacing w:line="240" w:lineRule="auto"/>
      </w:pPr>
    </w:p>
    <w:p w:rsidR="007737F1" w:rsidRDefault="007737F1" w:rsidP="00D9229F">
      <w:pPr>
        <w:spacing w:line="240" w:lineRule="auto"/>
      </w:pPr>
      <w:r>
        <w:t>To do</w:t>
      </w:r>
    </w:p>
    <w:p w:rsidR="000D25F6" w:rsidRDefault="00E17423" w:rsidP="00D9229F">
      <w:pPr>
        <w:spacing w:line="240" w:lineRule="auto"/>
      </w:pPr>
      <w:r w:rsidRPr="00E17423">
        <w:t xml:space="preserve">Stelling 1: 'Op korte termijn moeten er nieuwe versies komen van het RSGB en </w:t>
      </w:r>
      <w:proofErr w:type="spellStart"/>
      <w:r w:rsidRPr="00E17423">
        <w:t>StUF-BG</w:t>
      </w:r>
      <w:proofErr w:type="spellEnd"/>
      <w:r w:rsidRPr="00E17423">
        <w:t xml:space="preserve"> om de veranderingen in het stelsel op te vangen'.</w:t>
      </w:r>
    </w:p>
    <w:p w:rsidR="00E17423" w:rsidRDefault="00E17423" w:rsidP="00D9229F">
      <w:pPr>
        <w:spacing w:line="240" w:lineRule="auto"/>
      </w:pPr>
    </w:p>
    <w:p w:rsidR="00E17423" w:rsidRDefault="00E17423" w:rsidP="00D9229F">
      <w:pPr>
        <w:spacing w:line="240" w:lineRule="auto"/>
      </w:pPr>
      <w:r>
        <w:t xml:space="preserve">Stelling 2a: 'Er hoeven voorlopig geen nieuwe versies te komen van bovengenoemde standaarden. Stabiliteit van RSGB 2.0 en bg0310 is het belangrijkst. We vangen de veranderingen in het stelsel op door middel van vertaalspecificaties, transformaties, extra elementen, aanvullende berichtcatalogi en andere </w:t>
      </w:r>
      <w:proofErr w:type="spellStart"/>
      <w:r>
        <w:t>truuks</w:t>
      </w:r>
      <w:proofErr w:type="spellEnd"/>
      <w:r>
        <w:t>'.</w:t>
      </w:r>
    </w:p>
    <w:p w:rsidR="00E17423" w:rsidRDefault="00E17423" w:rsidP="00D9229F">
      <w:pPr>
        <w:spacing w:line="240" w:lineRule="auto"/>
      </w:pPr>
      <w:r>
        <w:t xml:space="preserve">Stelling 2b: 'Basisregistraties dienen te communiceren met gemeenten via </w:t>
      </w:r>
      <w:proofErr w:type="spellStart"/>
      <w:r>
        <w:t>StUF-BG</w:t>
      </w:r>
      <w:proofErr w:type="spellEnd"/>
      <w:r>
        <w:t xml:space="preserve"> eventueel aangevuld met een aantal extra elementen en een berichtcatalogus. Basisregistraties mogen in principe geen eigen verticale sectormodellen ontwikkelen'.</w:t>
      </w:r>
    </w:p>
    <w:p w:rsidR="00E17423" w:rsidRDefault="00E17423" w:rsidP="00D9229F">
      <w:pPr>
        <w:spacing w:line="240" w:lineRule="auto"/>
      </w:pPr>
    </w:p>
    <w:p w:rsidR="00E17423" w:rsidRDefault="00E17423" w:rsidP="00D9229F">
      <w:pPr>
        <w:spacing w:line="240" w:lineRule="auto"/>
      </w:pPr>
      <w:r>
        <w:t xml:space="preserve">Stelling 2a: 'Er hoeven voorlopig geen nieuwe versies te komen van </w:t>
      </w:r>
      <w:proofErr w:type="spellStart"/>
      <w:r>
        <w:t>StUF-BG</w:t>
      </w:r>
      <w:proofErr w:type="spellEnd"/>
      <w:r>
        <w:t>, de stabiliteit is het belangrijkst.</w:t>
      </w:r>
    </w:p>
    <w:p w:rsidR="00E17423" w:rsidRDefault="00E17423" w:rsidP="00D9229F">
      <w:pPr>
        <w:spacing w:line="240" w:lineRule="auto"/>
      </w:pPr>
      <w:r>
        <w:t xml:space="preserve">Stelling 2b: 'Basisregistraties dienen te communiceren met StUF conform het </w:t>
      </w:r>
      <w:proofErr w:type="spellStart"/>
      <w:r>
        <w:t>comply</w:t>
      </w:r>
      <w:proofErr w:type="spellEnd"/>
      <w:r>
        <w:t xml:space="preserve"> </w:t>
      </w:r>
      <w:proofErr w:type="spellStart"/>
      <w:r>
        <w:t>or</w:t>
      </w:r>
      <w:proofErr w:type="spellEnd"/>
      <w:r>
        <w:t xml:space="preserve"> </w:t>
      </w:r>
      <w:proofErr w:type="spellStart"/>
      <w:r>
        <w:t>Explain</w:t>
      </w:r>
      <w:proofErr w:type="spellEnd"/>
      <w:r>
        <w:t xml:space="preserve"> principe' </w:t>
      </w:r>
    </w:p>
    <w:p w:rsidR="00E17423" w:rsidRDefault="00E17423" w:rsidP="00D9229F">
      <w:pPr>
        <w:spacing w:line="240" w:lineRule="auto"/>
      </w:pPr>
    </w:p>
    <w:p w:rsidR="00E17423" w:rsidRDefault="00E17423" w:rsidP="00D9229F">
      <w:pPr>
        <w:spacing w:line="240" w:lineRule="auto"/>
      </w:pPr>
      <w:r>
        <w:t xml:space="preserve">Stelling 3: 'We vangen de veranderingen op door het ontwikkelen van verticale sectormodellen voor de basisregistraties waar bg0310 te kort schiet (bijv. </w:t>
      </w:r>
      <w:proofErr w:type="spellStart"/>
      <w:r>
        <w:t>StUF-BGT</w:t>
      </w:r>
      <w:proofErr w:type="spellEnd"/>
      <w:r>
        <w:t>)'.</w:t>
      </w:r>
    </w:p>
    <w:sectPr w:rsidR="00E17423" w:rsidSect="000D25F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AF1" w:rsidRDefault="008D7AF1" w:rsidP="004E5279">
      <w:pPr>
        <w:spacing w:after="0" w:line="240" w:lineRule="auto"/>
      </w:pPr>
      <w:r>
        <w:separator/>
      </w:r>
    </w:p>
  </w:endnote>
  <w:endnote w:type="continuationSeparator" w:id="0">
    <w:p w:rsidR="008D7AF1" w:rsidRDefault="008D7AF1" w:rsidP="004E5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AF1" w:rsidRDefault="008D7AF1" w:rsidP="004E5279">
      <w:pPr>
        <w:spacing w:after="0" w:line="240" w:lineRule="auto"/>
      </w:pPr>
      <w:r>
        <w:separator/>
      </w:r>
    </w:p>
  </w:footnote>
  <w:footnote w:type="continuationSeparator" w:id="0">
    <w:p w:rsidR="008D7AF1" w:rsidRDefault="008D7AF1" w:rsidP="004E52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F60DA"/>
    <w:multiLevelType w:val="hybridMultilevel"/>
    <w:tmpl w:val="A2AC35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E17423"/>
    <w:rsid w:val="000D25F6"/>
    <w:rsid w:val="000E1FB8"/>
    <w:rsid w:val="00126295"/>
    <w:rsid w:val="001311B4"/>
    <w:rsid w:val="00166D77"/>
    <w:rsid w:val="00214765"/>
    <w:rsid w:val="00273A05"/>
    <w:rsid w:val="002C011A"/>
    <w:rsid w:val="003E5B98"/>
    <w:rsid w:val="00414D01"/>
    <w:rsid w:val="004856B4"/>
    <w:rsid w:val="00497242"/>
    <w:rsid w:val="004E5279"/>
    <w:rsid w:val="004F0502"/>
    <w:rsid w:val="00693C5F"/>
    <w:rsid w:val="006D1776"/>
    <w:rsid w:val="006F7D72"/>
    <w:rsid w:val="007737F1"/>
    <w:rsid w:val="007A2055"/>
    <w:rsid w:val="00861A14"/>
    <w:rsid w:val="00882722"/>
    <w:rsid w:val="008D7AF1"/>
    <w:rsid w:val="008F129E"/>
    <w:rsid w:val="008F3C4D"/>
    <w:rsid w:val="009A48B2"/>
    <w:rsid w:val="009D38E0"/>
    <w:rsid w:val="00A8738F"/>
    <w:rsid w:val="00B52C2F"/>
    <w:rsid w:val="00B87EA0"/>
    <w:rsid w:val="00B9466E"/>
    <w:rsid w:val="00C909FB"/>
    <w:rsid w:val="00CC0001"/>
    <w:rsid w:val="00D6260C"/>
    <w:rsid w:val="00D72F9E"/>
    <w:rsid w:val="00D9229F"/>
    <w:rsid w:val="00E17423"/>
    <w:rsid w:val="00E71001"/>
    <w:rsid w:val="00E929F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D25F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1776"/>
    <w:pPr>
      <w:ind w:left="720"/>
      <w:contextualSpacing/>
    </w:pPr>
  </w:style>
  <w:style w:type="paragraph" w:styleId="Ballontekst">
    <w:name w:val="Balloon Text"/>
    <w:basedOn w:val="Standaard"/>
    <w:link w:val="BallontekstChar"/>
    <w:uiPriority w:val="99"/>
    <w:semiHidden/>
    <w:unhideWhenUsed/>
    <w:rsid w:val="004E527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5279"/>
    <w:rPr>
      <w:rFonts w:ascii="Tahoma" w:hAnsi="Tahoma" w:cs="Tahoma"/>
      <w:sz w:val="16"/>
      <w:szCs w:val="16"/>
    </w:rPr>
  </w:style>
  <w:style w:type="paragraph" w:styleId="Koptekst">
    <w:name w:val="header"/>
    <w:basedOn w:val="Standaard"/>
    <w:link w:val="KoptekstChar"/>
    <w:uiPriority w:val="99"/>
    <w:unhideWhenUsed/>
    <w:rsid w:val="004E52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E5279"/>
  </w:style>
  <w:style w:type="paragraph" w:styleId="Voettekst">
    <w:name w:val="footer"/>
    <w:basedOn w:val="Standaard"/>
    <w:link w:val="VoettekstChar"/>
    <w:uiPriority w:val="99"/>
    <w:semiHidden/>
    <w:unhideWhenUsed/>
    <w:rsid w:val="004E52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4E5279"/>
  </w:style>
  <w:style w:type="table" w:styleId="Tabelraster">
    <w:name w:val="Table Grid"/>
    <w:basedOn w:val="Standaardtabel"/>
    <w:uiPriority w:val="59"/>
    <w:rsid w:val="004E52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3006609">
      <w:bodyDiv w:val="1"/>
      <w:marLeft w:val="0"/>
      <w:marRight w:val="0"/>
      <w:marTop w:val="0"/>
      <w:marBottom w:val="0"/>
      <w:divBdr>
        <w:top w:val="none" w:sz="0" w:space="0" w:color="auto"/>
        <w:left w:val="none" w:sz="0" w:space="0" w:color="auto"/>
        <w:bottom w:val="none" w:sz="0" w:space="0" w:color="auto"/>
        <w:right w:val="none" w:sz="0" w:space="0" w:color="auto"/>
      </w:divBdr>
    </w:div>
    <w:div w:id="1201094648">
      <w:bodyDiv w:val="1"/>
      <w:marLeft w:val="0"/>
      <w:marRight w:val="0"/>
      <w:marTop w:val="0"/>
      <w:marBottom w:val="0"/>
      <w:divBdr>
        <w:top w:val="none" w:sz="0" w:space="0" w:color="auto"/>
        <w:left w:val="none" w:sz="0" w:space="0" w:color="auto"/>
        <w:bottom w:val="none" w:sz="0" w:space="0" w:color="auto"/>
        <w:right w:val="none" w:sz="0" w:space="0" w:color="auto"/>
      </w:divBdr>
    </w:div>
    <w:div w:id="121670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nggemeenten.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61D6A-AD8A-4286-B39F-071665683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750</Words>
  <Characters>4125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Korver</dc:creator>
  <cp:keywords/>
  <dc:description/>
  <cp:lastModifiedBy>Korver</cp:lastModifiedBy>
  <cp:revision>22</cp:revision>
  <cp:lastPrinted>2012-04-03T08:19:00Z</cp:lastPrinted>
  <dcterms:created xsi:type="dcterms:W3CDTF">2012-03-14T13:55:00Z</dcterms:created>
  <dcterms:modified xsi:type="dcterms:W3CDTF">2012-04-03T11:58:00Z</dcterms:modified>
</cp:coreProperties>
</file>